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48D07" w14:textId="2405C22D" w:rsidR="00023ED5" w:rsidRPr="005F6D37" w:rsidRDefault="00023ED5" w:rsidP="00023ED5">
      <w:pPr>
        <w:rPr>
          <w:sz w:val="20"/>
          <w:szCs w:val="20"/>
        </w:rPr>
      </w:pPr>
      <w:r w:rsidRPr="005F6D37">
        <w:rPr>
          <w:sz w:val="20"/>
          <w:szCs w:val="20"/>
        </w:rPr>
        <w:t>This Memorandum of Understanding ("MOU") is entered into by and between Highline College ("the College") and</w:t>
      </w:r>
      <w:r w:rsidR="005F6D37">
        <w:rPr>
          <w:sz w:val="20"/>
          <w:szCs w:val="20"/>
        </w:rPr>
        <w:t xml:space="preserve"> WPEA</w:t>
      </w:r>
      <w:r w:rsidRPr="005F6D37">
        <w:rPr>
          <w:sz w:val="20"/>
          <w:szCs w:val="20"/>
        </w:rPr>
        <w:t xml:space="preserve"> ("the Union") regarding the temporary implementation of a graveyard shift differential tier.</w:t>
      </w:r>
    </w:p>
    <w:p w14:paraId="6872EAA1" w14:textId="76A9DF04" w:rsidR="00023ED5" w:rsidRPr="005F6D37" w:rsidRDefault="00023ED5" w:rsidP="00023ED5">
      <w:pPr>
        <w:rPr>
          <w:sz w:val="20"/>
          <w:szCs w:val="20"/>
        </w:rPr>
      </w:pPr>
      <w:r w:rsidRPr="005F6D37">
        <w:rPr>
          <w:b/>
          <w:bCs/>
          <w:sz w:val="20"/>
          <w:szCs w:val="20"/>
        </w:rPr>
        <w:t>Background</w:t>
      </w:r>
    </w:p>
    <w:p w14:paraId="1BA01F52" w14:textId="0F196D6B" w:rsidR="00023ED5" w:rsidRPr="005F6D37" w:rsidRDefault="00023ED5" w:rsidP="00023ED5">
      <w:pPr>
        <w:rPr>
          <w:sz w:val="20"/>
          <w:szCs w:val="20"/>
        </w:rPr>
      </w:pPr>
      <w:r w:rsidRPr="005F6D37">
        <w:rPr>
          <w:sz w:val="20"/>
          <w:szCs w:val="20"/>
        </w:rPr>
        <w:t>The current collective bargaining agreement provides a shift differential for employees working a 5pm-10pm shift. The College has identified an operational need to also staff a graveyard shift in Security and wishes to establish an additional differential tier of 10:00pm-6:00am for employees working that shift.</w:t>
      </w:r>
    </w:p>
    <w:p w14:paraId="68DE57CA" w14:textId="67D45484" w:rsidR="00023ED5" w:rsidRPr="005F6D37" w:rsidRDefault="00023ED5" w:rsidP="00023ED5">
      <w:pPr>
        <w:rPr>
          <w:sz w:val="20"/>
          <w:szCs w:val="20"/>
        </w:rPr>
      </w:pPr>
      <w:r w:rsidRPr="005F6D37">
        <w:rPr>
          <w:sz w:val="20"/>
          <w:szCs w:val="20"/>
        </w:rPr>
        <w:t>Because the payroll system does not yet support automated scheduling or payroll processing for a graveyard differential tier, implementation will require manual processing in the interim. The College will submit, a request to SBCTC to update the system to eliminate the need for manual processing.</w:t>
      </w:r>
    </w:p>
    <w:p w14:paraId="34DAD9C5" w14:textId="0B282F69" w:rsidR="00023ED5" w:rsidRPr="005F6D37" w:rsidRDefault="00023ED5" w:rsidP="00023ED5">
      <w:pPr>
        <w:rPr>
          <w:sz w:val="20"/>
          <w:szCs w:val="20"/>
        </w:rPr>
      </w:pPr>
      <w:r w:rsidRPr="005F6D37">
        <w:rPr>
          <w:b/>
          <w:bCs/>
          <w:sz w:val="20"/>
          <w:szCs w:val="20"/>
        </w:rPr>
        <w:t>Agreement</w:t>
      </w:r>
    </w:p>
    <w:p w14:paraId="4AE117EF" w14:textId="6FB17AC5" w:rsidR="00023ED5" w:rsidRPr="005F6D37" w:rsidRDefault="00023ED5" w:rsidP="00023ED5">
      <w:pPr>
        <w:rPr>
          <w:sz w:val="20"/>
          <w:szCs w:val="20"/>
        </w:rPr>
      </w:pPr>
      <w:r w:rsidRPr="005F6D37">
        <w:rPr>
          <w:sz w:val="20"/>
          <w:szCs w:val="20"/>
        </w:rPr>
        <w:t>a. Effective J</w:t>
      </w:r>
      <w:r w:rsidR="007B3167">
        <w:rPr>
          <w:sz w:val="20"/>
          <w:szCs w:val="20"/>
        </w:rPr>
        <w:t>uly</w:t>
      </w:r>
      <w:r w:rsidRPr="005F6D37">
        <w:rPr>
          <w:sz w:val="20"/>
          <w:szCs w:val="20"/>
        </w:rPr>
        <w:t xml:space="preserve"> 1, 2027 the College will establish a graveyard shift differential as an additional tier alongside the existing swing shift differential, for the Security staff.</w:t>
      </w:r>
    </w:p>
    <w:p w14:paraId="385FFC99" w14:textId="77777777" w:rsidR="00023ED5" w:rsidRPr="005F6D37" w:rsidRDefault="00023ED5" w:rsidP="00023ED5">
      <w:pPr>
        <w:rPr>
          <w:sz w:val="20"/>
          <w:szCs w:val="20"/>
        </w:rPr>
      </w:pPr>
      <w:r w:rsidRPr="005F6D37">
        <w:rPr>
          <w:sz w:val="20"/>
          <w:szCs w:val="20"/>
        </w:rPr>
        <w:t>b. Employees working the graveyard shift will receive a shift differential of $5.00 per hour, in addition to their regular rate of pay, for all hours worked during the designated graveyard shift. This differential is separate from, and in addition to, the existing swing shift differential structure, and will not alter or replace the swing shift differential.</w:t>
      </w:r>
    </w:p>
    <w:p w14:paraId="556A4C14" w14:textId="6A11520D" w:rsidR="00023ED5" w:rsidRPr="005F6D37" w:rsidRDefault="00023ED5" w:rsidP="00023ED5">
      <w:pPr>
        <w:rPr>
          <w:sz w:val="20"/>
          <w:szCs w:val="20"/>
        </w:rPr>
      </w:pPr>
      <w:r w:rsidRPr="005F6D37">
        <w:rPr>
          <w:sz w:val="20"/>
          <w:szCs w:val="20"/>
        </w:rPr>
        <w:t>c. This arrangement will remain in effect through June 30, 2029, or until SBCTC completes the requested system update, whichever occurs first.</w:t>
      </w:r>
    </w:p>
    <w:p w14:paraId="69F57494" w14:textId="12082D5A" w:rsidR="00023ED5" w:rsidRPr="005F6D37" w:rsidRDefault="00023ED5" w:rsidP="00023ED5">
      <w:pPr>
        <w:rPr>
          <w:sz w:val="20"/>
          <w:szCs w:val="20"/>
        </w:rPr>
      </w:pPr>
      <w:r w:rsidRPr="005F6D37">
        <w:rPr>
          <w:b/>
          <w:bCs/>
          <w:sz w:val="20"/>
          <w:szCs w:val="20"/>
        </w:rPr>
        <w:t>Duration and Reopener</w:t>
      </w:r>
    </w:p>
    <w:p w14:paraId="08863F64" w14:textId="1B107205" w:rsidR="00023ED5" w:rsidRPr="005F6D37" w:rsidRDefault="00023ED5" w:rsidP="00023ED5">
      <w:pPr>
        <w:rPr>
          <w:sz w:val="20"/>
          <w:szCs w:val="20"/>
        </w:rPr>
      </w:pPr>
      <w:r w:rsidRPr="005F6D37">
        <w:rPr>
          <w:sz w:val="20"/>
          <w:szCs w:val="20"/>
        </w:rPr>
        <w:t>a. This MOU expires on June 30, 2029, unless earlier terminated by mutual written agreement of the parties.</w:t>
      </w:r>
    </w:p>
    <w:p w14:paraId="213A88D7" w14:textId="649E2430" w:rsidR="00023ED5" w:rsidRPr="005F6D37" w:rsidRDefault="00023ED5" w:rsidP="00023ED5">
      <w:pPr>
        <w:rPr>
          <w:sz w:val="20"/>
          <w:szCs w:val="20"/>
        </w:rPr>
      </w:pPr>
      <w:r w:rsidRPr="005F6D37">
        <w:rPr>
          <w:sz w:val="20"/>
          <w:szCs w:val="20"/>
        </w:rPr>
        <w:t>b. If SBCTC completes the system update before June 30, 2029, the parties agree to meet and confer regarding whether continued manual implementation under this MOU is still necessary, and to revise or discontinue the arrangement as appropriate. At that point, the parties may also discuss whether the graveyard differential should be incorporated into the CBA on a permanent basis.</w:t>
      </w:r>
    </w:p>
    <w:p w14:paraId="280C315A" w14:textId="77777777" w:rsidR="005F6D37" w:rsidRPr="005F6D37" w:rsidRDefault="00023ED5">
      <w:pPr>
        <w:rPr>
          <w:b/>
          <w:bCs/>
          <w:sz w:val="20"/>
          <w:szCs w:val="20"/>
        </w:rPr>
      </w:pPr>
      <w:r w:rsidRPr="005F6D37">
        <w:rPr>
          <w:b/>
          <w:bCs/>
          <w:sz w:val="20"/>
          <w:szCs w:val="20"/>
        </w:rPr>
        <w:t>4. No Precedent</w:t>
      </w:r>
      <w:r w:rsidR="005F6D37" w:rsidRPr="005F6D37">
        <w:rPr>
          <w:b/>
          <w:bCs/>
          <w:sz w:val="20"/>
          <w:szCs w:val="20"/>
        </w:rPr>
        <w:t xml:space="preserve"> </w:t>
      </w:r>
    </w:p>
    <w:p w14:paraId="1B18AF59" w14:textId="7903F648" w:rsidR="00330E2D" w:rsidRDefault="00023ED5">
      <w:pPr>
        <w:rPr>
          <w:sz w:val="20"/>
          <w:szCs w:val="20"/>
        </w:rPr>
      </w:pPr>
      <w:r w:rsidRPr="005F6D37">
        <w:rPr>
          <w:sz w:val="20"/>
          <w:szCs w:val="20"/>
        </w:rPr>
        <w:t>This MOU is entered into solely to address the specific circumstances described above and shall not be cited as precedent in any other matter, nor shall it be construed as a past practice binding on either party beyond its stated term.</w:t>
      </w:r>
    </w:p>
    <w:tbl>
      <w:tblPr>
        <w:tblW w:w="10350" w:type="dxa"/>
        <w:tblInd w:w="-450" w:type="dxa"/>
        <w:tblLayout w:type="fixed"/>
        <w:tblCellMar>
          <w:left w:w="10" w:type="dxa"/>
          <w:right w:w="10" w:type="dxa"/>
        </w:tblCellMar>
        <w:tblLook w:val="0000" w:firstRow="0" w:lastRow="0" w:firstColumn="0" w:lastColumn="0" w:noHBand="0" w:noVBand="0"/>
      </w:tblPr>
      <w:tblGrid>
        <w:gridCol w:w="4230"/>
        <w:gridCol w:w="1710"/>
        <w:gridCol w:w="2700"/>
        <w:gridCol w:w="1710"/>
      </w:tblGrid>
      <w:tr w:rsidR="005F6D37" w14:paraId="7BEFA52B" w14:textId="77777777" w:rsidTr="00607F63">
        <w:trPr>
          <w:trHeight w:val="904"/>
        </w:trPr>
        <w:tc>
          <w:tcPr>
            <w:tcW w:w="10350" w:type="dxa"/>
            <w:gridSpan w:val="4"/>
            <w:tcMar>
              <w:top w:w="0" w:type="dxa"/>
              <w:left w:w="108" w:type="dxa"/>
              <w:bottom w:w="0" w:type="dxa"/>
              <w:right w:w="108" w:type="dxa"/>
            </w:tcMar>
          </w:tcPr>
          <w:p w14:paraId="2819AC31" w14:textId="6C0045E8" w:rsidR="005F6D37" w:rsidRDefault="005F6D37" w:rsidP="00607F63">
            <w:pPr>
              <w:widowControl w:val="0"/>
              <w:autoSpaceDE w:val="0"/>
              <w:spacing w:before="38"/>
              <w:jc w:val="center"/>
              <w:rPr>
                <w:rFonts w:eastAsia="Calibri"/>
              </w:rPr>
            </w:pPr>
            <w:r>
              <w:rPr>
                <w:rFonts w:eastAsia="Calibri"/>
              </w:rPr>
              <w:t>An electronic signature to this Understanding shall be given effect as if it were an original signature.</w:t>
            </w:r>
          </w:p>
        </w:tc>
      </w:tr>
      <w:tr w:rsidR="005F6D37" w14:paraId="5564ED9B" w14:textId="77777777" w:rsidTr="00607F63">
        <w:trPr>
          <w:trHeight w:val="560"/>
        </w:trPr>
        <w:tc>
          <w:tcPr>
            <w:tcW w:w="4230" w:type="dxa"/>
            <w:tcMar>
              <w:top w:w="0" w:type="dxa"/>
              <w:left w:w="108" w:type="dxa"/>
              <w:bottom w:w="0" w:type="dxa"/>
              <w:right w:w="108" w:type="dxa"/>
            </w:tcMar>
          </w:tcPr>
          <w:p w14:paraId="33A06CDD" w14:textId="77777777" w:rsidR="005F6D37" w:rsidRDefault="005F6D37" w:rsidP="00607F63">
            <w:pPr>
              <w:widowControl w:val="0"/>
              <w:autoSpaceDE w:val="0"/>
              <w:spacing w:before="38"/>
            </w:pPr>
            <w:r>
              <w:rPr>
                <w:rFonts w:eastAsia="Calibri"/>
              </w:rPr>
              <w:t>For Highline College</w:t>
            </w:r>
          </w:p>
        </w:tc>
        <w:tc>
          <w:tcPr>
            <w:tcW w:w="1710" w:type="dxa"/>
            <w:tcMar>
              <w:top w:w="0" w:type="dxa"/>
              <w:left w:w="108" w:type="dxa"/>
              <w:bottom w:w="0" w:type="dxa"/>
              <w:right w:w="108" w:type="dxa"/>
            </w:tcMar>
          </w:tcPr>
          <w:p w14:paraId="2C7D3912" w14:textId="77777777" w:rsidR="005F6D37" w:rsidRDefault="005F6D37" w:rsidP="00607F63">
            <w:pPr>
              <w:widowControl w:val="0"/>
              <w:autoSpaceDE w:val="0"/>
              <w:spacing w:before="38"/>
            </w:pPr>
            <w:r>
              <w:rPr>
                <w:rFonts w:eastAsia="Calibri"/>
              </w:rPr>
              <w:t xml:space="preserve">    </w:t>
            </w:r>
          </w:p>
        </w:tc>
        <w:tc>
          <w:tcPr>
            <w:tcW w:w="2700" w:type="dxa"/>
            <w:tcMar>
              <w:top w:w="0" w:type="dxa"/>
              <w:left w:w="108" w:type="dxa"/>
              <w:bottom w:w="0" w:type="dxa"/>
              <w:right w:w="108" w:type="dxa"/>
            </w:tcMar>
          </w:tcPr>
          <w:p w14:paraId="5B0338C3" w14:textId="77777777" w:rsidR="005F6D37" w:rsidRDefault="005F6D37" w:rsidP="00607F63">
            <w:pPr>
              <w:widowControl w:val="0"/>
              <w:autoSpaceDE w:val="0"/>
              <w:spacing w:before="38"/>
            </w:pPr>
            <w:r>
              <w:rPr>
                <w:rFonts w:eastAsia="Calibri"/>
              </w:rPr>
              <w:t>For WPEA</w:t>
            </w:r>
          </w:p>
        </w:tc>
        <w:tc>
          <w:tcPr>
            <w:tcW w:w="1710" w:type="dxa"/>
          </w:tcPr>
          <w:p w14:paraId="25A566C9" w14:textId="77777777" w:rsidR="005F6D37" w:rsidRDefault="005F6D37" w:rsidP="00607F63">
            <w:pPr>
              <w:widowControl w:val="0"/>
              <w:autoSpaceDE w:val="0"/>
              <w:spacing w:before="38"/>
              <w:jc w:val="center"/>
              <w:rPr>
                <w:rFonts w:eastAsia="Calibri"/>
              </w:rPr>
            </w:pPr>
          </w:p>
        </w:tc>
      </w:tr>
      <w:tr w:rsidR="005F6D37" w14:paraId="53D6CB35" w14:textId="77777777" w:rsidTr="00607F63">
        <w:trPr>
          <w:trHeight w:val="560"/>
        </w:trPr>
        <w:tc>
          <w:tcPr>
            <w:tcW w:w="4230" w:type="dxa"/>
            <w:tcMar>
              <w:top w:w="0" w:type="dxa"/>
              <w:left w:w="108" w:type="dxa"/>
              <w:bottom w:w="0" w:type="dxa"/>
              <w:right w:w="108" w:type="dxa"/>
            </w:tcMar>
          </w:tcPr>
          <w:p w14:paraId="1BFC432E" w14:textId="77777777" w:rsidR="005F6D37" w:rsidRPr="00E15416" w:rsidRDefault="005F6D37" w:rsidP="00607F63">
            <w:pPr>
              <w:widowControl w:val="0"/>
              <w:autoSpaceDE w:val="0"/>
              <w:spacing w:before="38"/>
              <w:rPr>
                <w:rFonts w:eastAsia="Calibri"/>
                <w:b/>
                <w:bCs/>
              </w:rPr>
            </w:pPr>
            <w:r w:rsidRPr="00E15416">
              <w:rPr>
                <w:rFonts w:eastAsia="Calibri"/>
                <w:b/>
                <w:bCs/>
              </w:rPr>
              <w:t>Melanie Lawson</w:t>
            </w:r>
          </w:p>
        </w:tc>
        <w:tc>
          <w:tcPr>
            <w:tcW w:w="1710" w:type="dxa"/>
            <w:tcMar>
              <w:top w:w="0" w:type="dxa"/>
              <w:left w:w="108" w:type="dxa"/>
              <w:bottom w:w="0" w:type="dxa"/>
              <w:right w:w="108" w:type="dxa"/>
            </w:tcMar>
          </w:tcPr>
          <w:p w14:paraId="37A9F675" w14:textId="77777777" w:rsidR="005F6D37" w:rsidRPr="00E15416" w:rsidRDefault="005F6D37" w:rsidP="00607F63">
            <w:pPr>
              <w:widowControl w:val="0"/>
              <w:autoSpaceDE w:val="0"/>
              <w:spacing w:before="38"/>
              <w:jc w:val="center"/>
              <w:rPr>
                <w:rFonts w:eastAsia="Calibri"/>
                <w:b/>
                <w:bCs/>
              </w:rPr>
            </w:pPr>
            <w:r>
              <w:rPr>
                <w:rFonts w:eastAsia="Calibri"/>
              </w:rPr>
              <w:t>Date</w:t>
            </w:r>
          </w:p>
        </w:tc>
        <w:tc>
          <w:tcPr>
            <w:tcW w:w="2700" w:type="dxa"/>
            <w:tcMar>
              <w:top w:w="0" w:type="dxa"/>
              <w:left w:w="108" w:type="dxa"/>
              <w:bottom w:w="0" w:type="dxa"/>
              <w:right w:w="108" w:type="dxa"/>
            </w:tcMar>
          </w:tcPr>
          <w:p w14:paraId="0E60A991" w14:textId="77777777" w:rsidR="005F6D37" w:rsidRPr="00E15416" w:rsidRDefault="005F6D37" w:rsidP="00607F63">
            <w:pPr>
              <w:widowControl w:val="0"/>
              <w:autoSpaceDE w:val="0"/>
              <w:spacing w:before="38"/>
              <w:rPr>
                <w:rFonts w:eastAsia="Calibri"/>
                <w:b/>
                <w:bCs/>
              </w:rPr>
            </w:pPr>
            <w:r w:rsidRPr="00E15416">
              <w:rPr>
                <w:rFonts w:eastAsia="Calibri"/>
                <w:b/>
                <w:bCs/>
              </w:rPr>
              <w:t>Christi Hill</w:t>
            </w:r>
          </w:p>
        </w:tc>
        <w:tc>
          <w:tcPr>
            <w:tcW w:w="1710" w:type="dxa"/>
          </w:tcPr>
          <w:p w14:paraId="2D55E8F5" w14:textId="77777777" w:rsidR="005F6D37" w:rsidRDefault="005F6D37" w:rsidP="00607F63">
            <w:pPr>
              <w:widowControl w:val="0"/>
              <w:autoSpaceDE w:val="0"/>
              <w:spacing w:before="38"/>
              <w:jc w:val="center"/>
              <w:rPr>
                <w:rFonts w:eastAsia="Calibri"/>
              </w:rPr>
            </w:pPr>
            <w:r>
              <w:rPr>
                <w:rFonts w:eastAsia="Calibri"/>
              </w:rPr>
              <w:t>Date</w:t>
            </w:r>
          </w:p>
        </w:tc>
      </w:tr>
      <w:tr w:rsidR="005F6D37" w14:paraId="72E42DE4" w14:textId="77777777" w:rsidTr="00607F63">
        <w:trPr>
          <w:trHeight w:val="560"/>
        </w:trPr>
        <w:tc>
          <w:tcPr>
            <w:tcW w:w="4230" w:type="dxa"/>
            <w:tcMar>
              <w:top w:w="0" w:type="dxa"/>
              <w:left w:w="108" w:type="dxa"/>
              <w:bottom w:w="0" w:type="dxa"/>
              <w:right w:w="108" w:type="dxa"/>
            </w:tcMar>
          </w:tcPr>
          <w:p w14:paraId="723E7FAD" w14:textId="77777777" w:rsidR="005F6D37" w:rsidRDefault="005F6D37" w:rsidP="00607F63">
            <w:pPr>
              <w:widowControl w:val="0"/>
              <w:autoSpaceDE w:val="0"/>
              <w:spacing w:before="38"/>
              <w:rPr>
                <w:rFonts w:eastAsia="Calibri"/>
              </w:rPr>
            </w:pPr>
            <w:r>
              <w:rPr>
                <w:rFonts w:eastAsia="Calibri"/>
                <w:noProof/>
              </w:rPr>
              <w:drawing>
                <wp:inline distT="0" distB="0" distL="0" distR="0" wp14:anchorId="36C1696F" wp14:editId="300E30A1">
                  <wp:extent cx="2548890" cy="347980"/>
                  <wp:effectExtent l="0" t="0" r="3810" b="0"/>
                  <wp:docPr id="14169909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53873" name="Picture 289153873"/>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48890" cy="347980"/>
                          </a:xfrm>
                          <a:prstGeom prst="rect">
                            <a:avLst/>
                          </a:prstGeom>
                        </pic:spPr>
                      </pic:pic>
                    </a:graphicData>
                  </a:graphic>
                </wp:inline>
              </w:drawing>
            </w:r>
          </w:p>
        </w:tc>
        <w:tc>
          <w:tcPr>
            <w:tcW w:w="1710" w:type="dxa"/>
            <w:tcMar>
              <w:top w:w="0" w:type="dxa"/>
              <w:left w:w="108" w:type="dxa"/>
              <w:bottom w:w="0" w:type="dxa"/>
              <w:right w:w="108" w:type="dxa"/>
            </w:tcMar>
          </w:tcPr>
          <w:p w14:paraId="62B4FE5D" w14:textId="08187D14" w:rsidR="005F6D37" w:rsidRDefault="005F6D37" w:rsidP="00607F63">
            <w:pPr>
              <w:widowControl w:val="0"/>
              <w:autoSpaceDE w:val="0"/>
              <w:spacing w:before="38"/>
              <w:rPr>
                <w:rFonts w:eastAsia="Calibri"/>
              </w:rPr>
            </w:pPr>
            <w:r>
              <w:rPr>
                <w:rFonts w:eastAsia="Calibri"/>
              </w:rPr>
              <w:t>09/03/26</w:t>
            </w:r>
          </w:p>
        </w:tc>
        <w:tc>
          <w:tcPr>
            <w:tcW w:w="2700" w:type="dxa"/>
            <w:tcMar>
              <w:top w:w="0" w:type="dxa"/>
              <w:left w:w="108" w:type="dxa"/>
              <w:bottom w:w="0" w:type="dxa"/>
              <w:right w:w="108" w:type="dxa"/>
            </w:tcMar>
          </w:tcPr>
          <w:p w14:paraId="548F32FD" w14:textId="30B1A1E7" w:rsidR="005F6D37" w:rsidRDefault="0074483C" w:rsidP="00607F63">
            <w:pPr>
              <w:widowControl w:val="0"/>
              <w:autoSpaceDE w:val="0"/>
              <w:spacing w:before="38"/>
              <w:rPr>
                <w:rFonts w:eastAsia="Calibri"/>
              </w:rPr>
            </w:pPr>
            <w:r>
              <w:rPr>
                <w:noProof/>
              </w:rPr>
              <w:drawing>
                <wp:anchor distT="0" distB="0" distL="114300" distR="114300" simplePos="0" relativeHeight="251659264" behindDoc="1" locked="0" layoutInCell="1" allowOverlap="1" wp14:anchorId="299CDECE" wp14:editId="021C4E0C">
                  <wp:simplePos x="0" y="0"/>
                  <wp:positionH relativeFrom="column">
                    <wp:posOffset>0</wp:posOffset>
                  </wp:positionH>
                  <wp:positionV relativeFrom="paragraph">
                    <wp:posOffset>5080</wp:posOffset>
                  </wp:positionV>
                  <wp:extent cx="1094959" cy="428625"/>
                  <wp:effectExtent l="0" t="0" r="0" b="0"/>
                  <wp:wrapNone/>
                  <wp:docPr id="1009919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19323" name="Picture 1009919323"/>
                          <pic:cNvPicPr/>
                        </pic:nvPicPr>
                        <pic:blipFill>
                          <a:blip r:embed="rId5" cstate="print">
                            <a:biLevel thresh="25000"/>
                            <a:extLst>
                              <a:ext uri="{BEBA8EAE-BF5A-486C-A8C5-ECC9F3942E4B}">
                                <a14:imgProps xmlns:a14="http://schemas.microsoft.com/office/drawing/2010/main">
                                  <a14:imgLayer r:embed="rId6">
                                    <a14:imgEffect>
                                      <a14:colorTemperature colorTemp="4700"/>
                                    </a14:imgEffect>
                                    <a14:imgEffect>
                                      <a14:saturation sat="33000"/>
                                    </a14:imgEffect>
                                  </a14:imgLayer>
                                </a14:imgProps>
                              </a:ext>
                              <a:ext uri="{28A0092B-C50C-407E-A947-70E740481C1C}">
                                <a14:useLocalDpi xmlns:a14="http://schemas.microsoft.com/office/drawing/2010/main" val="0"/>
                              </a:ext>
                            </a:extLst>
                          </a:blip>
                          <a:stretch>
                            <a:fillRect/>
                          </a:stretch>
                        </pic:blipFill>
                        <pic:spPr>
                          <a:xfrm>
                            <a:off x="0" y="0"/>
                            <a:ext cx="1094959" cy="428625"/>
                          </a:xfrm>
                          <a:prstGeom prst="rect">
                            <a:avLst/>
                          </a:prstGeom>
                        </pic:spPr>
                      </pic:pic>
                    </a:graphicData>
                  </a:graphic>
                  <wp14:sizeRelH relativeFrom="page">
                    <wp14:pctWidth>0</wp14:pctWidth>
                  </wp14:sizeRelH>
                  <wp14:sizeRelV relativeFrom="page">
                    <wp14:pctHeight>0</wp14:pctHeight>
                  </wp14:sizeRelV>
                </wp:anchor>
              </w:drawing>
            </w:r>
          </w:p>
        </w:tc>
        <w:tc>
          <w:tcPr>
            <w:tcW w:w="1710" w:type="dxa"/>
          </w:tcPr>
          <w:p w14:paraId="14A401C2" w14:textId="28611924" w:rsidR="005F6D37" w:rsidRDefault="0074483C" w:rsidP="00607F63">
            <w:pPr>
              <w:widowControl w:val="0"/>
              <w:autoSpaceDE w:val="0"/>
              <w:spacing w:before="38"/>
              <w:rPr>
                <w:rFonts w:eastAsia="Calibri"/>
              </w:rPr>
            </w:pPr>
            <w:r>
              <w:rPr>
                <w:rFonts w:eastAsia="Calibri"/>
              </w:rPr>
              <w:t>9/3/2026</w:t>
            </w:r>
          </w:p>
        </w:tc>
      </w:tr>
    </w:tbl>
    <w:p w14:paraId="2EDD4C53" w14:textId="77777777" w:rsidR="005F6D37" w:rsidRPr="005F6D37" w:rsidRDefault="005F6D37">
      <w:pPr>
        <w:rPr>
          <w:sz w:val="20"/>
          <w:szCs w:val="20"/>
        </w:rPr>
      </w:pPr>
    </w:p>
    <w:sectPr w:rsidR="005F6D37" w:rsidRPr="005F6D37" w:rsidSect="005F6D37">
      <w:pgSz w:w="12240" w:h="15840"/>
      <w:pgMar w:top="99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ED5"/>
    <w:rsid w:val="00023ED5"/>
    <w:rsid w:val="00026600"/>
    <w:rsid w:val="00330E2D"/>
    <w:rsid w:val="005F6D37"/>
    <w:rsid w:val="006B0D83"/>
    <w:rsid w:val="0074483C"/>
    <w:rsid w:val="007B3167"/>
    <w:rsid w:val="00EA3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15E61"/>
  <w15:chartTrackingRefBased/>
  <w15:docId w15:val="{6CE05485-A1C4-4D1A-A85E-152AE9164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3E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3E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3E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3E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3E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3E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3E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3E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3E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E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3E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3E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3E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3E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3E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3E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3E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3ED5"/>
    <w:rPr>
      <w:rFonts w:eastAsiaTheme="majorEastAsia" w:cstheme="majorBidi"/>
      <w:color w:val="272727" w:themeColor="text1" w:themeTint="D8"/>
    </w:rPr>
  </w:style>
  <w:style w:type="paragraph" w:styleId="Title">
    <w:name w:val="Title"/>
    <w:basedOn w:val="Normal"/>
    <w:next w:val="Normal"/>
    <w:link w:val="TitleChar"/>
    <w:uiPriority w:val="10"/>
    <w:qFormat/>
    <w:rsid w:val="00023E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E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3E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3E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3ED5"/>
    <w:pPr>
      <w:spacing w:before="160"/>
      <w:jc w:val="center"/>
    </w:pPr>
    <w:rPr>
      <w:i/>
      <w:iCs/>
      <w:color w:val="404040" w:themeColor="text1" w:themeTint="BF"/>
    </w:rPr>
  </w:style>
  <w:style w:type="character" w:customStyle="1" w:styleId="QuoteChar">
    <w:name w:val="Quote Char"/>
    <w:basedOn w:val="DefaultParagraphFont"/>
    <w:link w:val="Quote"/>
    <w:uiPriority w:val="29"/>
    <w:rsid w:val="00023ED5"/>
    <w:rPr>
      <w:i/>
      <w:iCs/>
      <w:color w:val="404040" w:themeColor="text1" w:themeTint="BF"/>
    </w:rPr>
  </w:style>
  <w:style w:type="paragraph" w:styleId="ListParagraph">
    <w:name w:val="List Paragraph"/>
    <w:basedOn w:val="Normal"/>
    <w:uiPriority w:val="34"/>
    <w:qFormat/>
    <w:rsid w:val="00023ED5"/>
    <w:pPr>
      <w:ind w:left="720"/>
      <w:contextualSpacing/>
    </w:pPr>
  </w:style>
  <w:style w:type="character" w:styleId="IntenseEmphasis">
    <w:name w:val="Intense Emphasis"/>
    <w:basedOn w:val="DefaultParagraphFont"/>
    <w:uiPriority w:val="21"/>
    <w:qFormat/>
    <w:rsid w:val="00023ED5"/>
    <w:rPr>
      <w:i/>
      <w:iCs/>
      <w:color w:val="0F4761" w:themeColor="accent1" w:themeShade="BF"/>
    </w:rPr>
  </w:style>
  <w:style w:type="paragraph" w:styleId="IntenseQuote">
    <w:name w:val="Intense Quote"/>
    <w:basedOn w:val="Normal"/>
    <w:next w:val="Normal"/>
    <w:link w:val="IntenseQuoteChar"/>
    <w:uiPriority w:val="30"/>
    <w:qFormat/>
    <w:rsid w:val="00023E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3ED5"/>
    <w:rPr>
      <w:i/>
      <w:iCs/>
      <w:color w:val="0F4761" w:themeColor="accent1" w:themeShade="BF"/>
    </w:rPr>
  </w:style>
  <w:style w:type="character" w:styleId="IntenseReference">
    <w:name w:val="Intense Reference"/>
    <w:basedOn w:val="DefaultParagraphFont"/>
    <w:uiPriority w:val="32"/>
    <w:qFormat/>
    <w:rsid w:val="00023E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hdphoto" Target="media/hdphoto1.wdp"/><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2126</Characters>
  <Application>Microsoft Office Word</Application>
  <DocSecurity>0</DocSecurity>
  <Lines>106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Lawson, Melanie</dc:creator>
  <cp:keywords/>
  <dc:description/>
  <cp:lastModifiedBy>Aubrei Hansen</cp:lastModifiedBy>
  <cp:revision>2</cp:revision>
  <dcterms:created xsi:type="dcterms:W3CDTF">2026-09-03T22:51:00Z</dcterms:created>
  <dcterms:modified xsi:type="dcterms:W3CDTF">2026-09-03T22:51:00Z</dcterms:modified>
</cp:coreProperties>
</file>